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2.4.0 -->
  <w:body>
    <w:p w:rsidR="00A77B3E">
      <w:pPr>
        <w:spacing w:line="240" w:lineRule="auto"/>
        <w:ind w:left="0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/>
          <w:caps/>
          <w:sz w:val="24"/>
        </w:rPr>
        <w:t>Zarządzenie</w:t>
      </w:r>
      <w:r>
        <w:rPr>
          <w:rFonts w:ascii="Times New Roman" w:eastAsia="Times New Roman" w:hAnsi="Times New Roman" w:cs="Times New Roman"/>
          <w:b/>
          <w:caps/>
          <w:sz w:val="24"/>
        </w:rPr>
        <w:br/>
      </w:r>
      <w:r>
        <w:rPr>
          <w:rFonts w:ascii="Times New Roman" w:eastAsia="Times New Roman" w:hAnsi="Times New Roman" w:cs="Times New Roman"/>
          <w:b/>
          <w:caps/>
          <w:sz w:val="24"/>
        </w:rPr>
        <w:t>Regionalnego Dyrektora Ochrony Środowiska w Bydgoszczy</w:t>
      </w:r>
    </w:p>
    <w:p w:rsidR="00A77B3E">
      <w:pPr>
        <w:spacing w:before="280" w:after="280" w:line="240" w:lineRule="auto"/>
        <w:ind w:left="0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 w:val="0"/>
          <w:caps w:val="0"/>
          <w:sz w:val="24"/>
        </w:rPr>
        <w:t>z dnia 27 sierpnia 2024 r.</w:t>
      </w:r>
    </w:p>
    <w:p w:rsidR="00A77B3E">
      <w:pPr>
        <w:spacing w:before="280" w:after="280" w:line="240" w:lineRule="auto"/>
        <w:ind w:left="0"/>
        <w:jc w:val="center"/>
        <w:rPr>
          <w:rFonts w:ascii="Times New Roman" w:eastAsia="Times New Roman" w:hAnsi="Times New Roman" w:cs="Times New Roman"/>
          <w:b w:val="0"/>
          <w:caps w:val="0"/>
          <w:sz w:val="22"/>
        </w:rPr>
      </w:pPr>
    </w:p>
    <w:p w:rsidR="00A77B3E">
      <w:pPr>
        <w:keepNext/>
        <w:spacing w:before="0" w:after="48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</w:pPr>
      <w:r>
        <w:rPr>
          <w:rFonts w:ascii="Times New Roman" w:eastAsia="Times New Roman" w:hAnsi="Times New Roman" w:cs="Times New Roman"/>
          <w:b/>
          <w:caps w:val="0"/>
          <w:sz w:val="24"/>
        </w:rPr>
        <w:t>w sprawie ustanowienia planu ochrony dla rezerwatu przyrody „Kulin”</w:t>
      </w:r>
    </w:p>
    <w:p w:rsidR="00A77B3E">
      <w:pPr>
        <w:keepNext w:val="0"/>
        <w:keepLines/>
        <w:spacing w:before="120" w:after="120" w:line="240" w:lineRule="auto"/>
        <w:ind w:left="0" w:right="0" w:firstLine="227"/>
        <w:jc w:val="both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</w:pP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  <w:t>Na podstawie art. 19 ust. 6 ustawy z dnia 16 kwietnia 2004 roku o ochronie przyrody (Dz. U. z 2023 r. poz. 1336, 1688, 1890 i 2024 r. poz. 1089) zarządza się, co następuje: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</w:pPr>
      <w:r>
        <w:rPr>
          <w:rFonts w:ascii="Times New Roman" w:eastAsia="Times New Roman" w:hAnsi="Times New Roman" w:cs="Times New Roman"/>
          <w:b/>
          <w:sz w:val="24"/>
        </w:rPr>
        <w:t>§ 1.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  <w:t>Ustanawia się plan ochrony dla rezerwatu przyrody „Kulin” zwanego dalej „rezerwatem”.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2.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Celem ochrony w rezerwacie jest zachowanie wielogatunkowych drzewostanów o cechach zbliżonych do naturalnych</w:t>
      </w:r>
      <w:r>
        <w:rPr>
          <w:rFonts w:ascii="Times New Roman" w:eastAsia="Times New Roman" w:hAnsi="Times New Roman" w:cs="Times New Roman"/>
          <w:b w:val="0"/>
          <w:i/>
          <w:caps w:val="0"/>
          <w:strike w:val="0"/>
          <w:color w:val="000000"/>
          <w:sz w:val="24"/>
          <w:u w:val="none" w:color="000000"/>
          <w:vertAlign w:val="baseline"/>
        </w:rPr>
        <w:t>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Przyrodniczymi  i społecznymi  uwarunkowaniami  realizacji  celu  ochrony,  o którym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mowa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ust. 1, są: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położenie rezerwatu na gruntach należących do Skarbu Państwa, zarządzanych przez Państwowe Gospodarstwo Leśne Lasy Państwowe Nadleśnictwo Włocławek;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położenie rezerwatu na zboczu doliny rzeki Wisły w obrębie miasta Włocławek;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położenie rezerwatu na terenie obszaru Natura 2000 Włocławska Dolina Wisły PLH040039.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Identyfikację oraz określenie sposobów eliminacji i ograniczania istniejących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potencjalnych zagrożeń wewnętrznych i zewnętrznych oraz ich skutków na obszarze rezerwatu przedstawia tabela stanowiąca załącznik nr 1 do zarządzenia.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Ochronie czynnej podlega obszar, który stanowią oddziały: 48a, 48f, 49k, 49l,49o,  Leśnictwa Szpetal, Nadleśnictwa Włocławek, a pozostały obszar rezerwatu podlega ochronie ścisłej.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Określenie działań ochronnych na obszarze ochrony czynnej, z podaniem ich rodzaju, zakresu i lokalizacji, przedstawia tabela stanowiąca załącznik nr 2 do zarządzenia.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6.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Zarządzenie wchodzi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życie po upływie 14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dni od dnia ogłoszenia.</w:t>
      </w:r>
    </w:p>
    <w:p w:rsidR="00A77B3E">
      <w:pPr>
        <w:keepNext w:val="0"/>
        <w:keepLines w:val="0"/>
        <w:spacing w:before="120" w:after="120" w:line="240" w:lineRule="auto"/>
        <w:ind w:left="283" w:right="0" w:firstLine="227"/>
        <w:jc w:val="righ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drawing>
          <wp:inline>
            <wp:extent cx="2383536" cy="1505712"/>
            <wp:docPr id="100001" name="" descr="Obraz w treści dokumen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83536" cy="1505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B3E">
      <w:pPr>
        <w:keepNext w:val="0"/>
        <w:keepLines w:val="0"/>
        <w:spacing w:before="120" w:after="120" w:line="240" w:lineRule="auto"/>
        <w:ind w:left="283" w:right="0" w:firstLine="227"/>
        <w:jc w:val="righ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sectPr>
          <w:footerReference w:type="default" r:id="rId7"/>
          <w:endnotePr>
            <w:numFmt w:val="decimal"/>
          </w:endnotePr>
          <w:pgSz w:w="11906" w:h="16838"/>
          <w:pgMar w:top="992" w:right="1020" w:bottom="992" w:left="1020" w:header="708" w:footer="708" w:gutter="0"/>
          <w:cols w:space="708"/>
          <w:docGrid w:linePitch="360"/>
        </w:sectPr>
      </w:pPr>
    </w:p>
    <w:p w:rsidR="00A77B3E">
      <w:pPr>
        <w:keepNext/>
        <w:spacing w:before="120" w:after="120" w:line="360" w:lineRule="auto"/>
        <w:ind w:left="3634" w:right="0" w:firstLine="0"/>
        <w:jc w:val="lef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fldChar w:fldCharType="begin"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fldChar w:fldCharType="separate"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fldChar w:fldCharType="end"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1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zarządzenia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Regionalnego Dyrektora Ochrony Środowiska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Bydgoszczy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dnia 27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sierpnia 2024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r.</w:t>
      </w:r>
    </w:p>
    <w:p w:rsidR="00A77B3E">
      <w:pPr>
        <w:keepNext/>
        <w:spacing w:before="0" w:after="48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Identyfikacja oraz określenie sposobów eliminacji lub ograniczania istniejących i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potencjalnych zagrożeń wewnętrznych i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zewnętrznych oraz ich skutków na obszarze rezerwatu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551"/>
        <w:gridCol w:w="5041"/>
        <w:gridCol w:w="4490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uto" w:val="0"/>
        </w:trPr>
        <w:tc>
          <w:tcPr>
            <w:tcW w:w="51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nil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/>
              </w:rPr>
              <w:t>Lp.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nil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/>
              </w:rPr>
              <w:t>Identyfikacja zagrożeń istniejących i potencjalnych zagrożeń wewnętrznych i zewnętrznych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/>
              </w:rPr>
              <w:t>Sposób eliminacji lub ograniczania istniejących i potencjalnych zagrożeń wewnętrznych i zewnętrznych oraz ich skutków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978"/>
        </w:trPr>
        <w:tc>
          <w:tcPr>
            <w:tcW w:w="51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Sukcesja naturalna, zarastanie stanowisk cennych gatunków roślin, charakterystycznych dla zarośli, muraw i świetlistych dąbrów (zagrożenie istniejące, wewnętrzne). 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Odsłanianie stanowisk cennych gatunków roślin, charakterystycznych dla zarośli, muraw i  świetlistych dąbrów. Ekstensywne koszenie lub wypas owiec i kóz. Wycinanie krzewów.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978"/>
        </w:trPr>
        <w:tc>
          <w:tcPr>
            <w:tcW w:w="51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 drzewostanach nasiennych występowanie drzew wadliwych oraz gatunków przeszkadzających w kwitnieniu i owocowaniu (zagrożenie istniejące, wewnętrzne).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Utrzymanie drzewostanów nasiennych. W drzewostanach nasiennych usunięcie  gatunków przeszkadzających w kwitnieniu i owocowaniu drzew nasiennych, usunięcie drzew wadliwych i uregulowanie zwarcia drzewostanu.</w:t>
            </w:r>
          </w:p>
        </w:tc>
      </w:tr>
    </w:tbl>
    <w:p w:rsidR="00A77B3E">
      <w:pPr>
        <w:keepNext w:val="0"/>
        <w:keepLines w:val="0"/>
        <w:spacing w:before="120" w:after="120" w:line="240" w:lineRule="auto"/>
        <w:ind w:left="283" w:right="0" w:firstLine="227"/>
        <w:jc w:val="righ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drawing>
          <wp:inline>
            <wp:extent cx="2383536" cy="1505712"/>
            <wp:docPr id="100003" name="" descr="Obraz w treści dokumen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83536" cy="1505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B3E">
      <w:pPr>
        <w:keepNext w:val="0"/>
        <w:keepLines w:val="0"/>
        <w:spacing w:before="120" w:after="120" w:line="240" w:lineRule="auto"/>
        <w:ind w:left="283" w:right="0" w:firstLine="227"/>
        <w:jc w:val="righ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sectPr>
          <w:footerReference w:type="default" r:id="rId9"/>
          <w:endnotePr>
            <w:numFmt w:val="decimal"/>
          </w:endnotePr>
          <w:type w:val="nextPage"/>
          <w:pgSz w:w="11906" w:h="16838"/>
          <w:pgMar w:top="992" w:right="1020" w:bottom="992" w:left="1020" w:header="708" w:footer="708" w:gutter="0"/>
          <w:pgNumType w:start="1"/>
          <w:cols w:space="708"/>
          <w:docGrid w:linePitch="360"/>
        </w:sectPr>
      </w:pPr>
    </w:p>
    <w:p w:rsidR="00A77B3E">
      <w:pPr>
        <w:keepNext/>
        <w:spacing w:before="120" w:after="120" w:line="360" w:lineRule="auto"/>
        <w:ind w:left="3634" w:right="0" w:firstLine="0"/>
        <w:jc w:val="lef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end"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zarządzenia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Regionalnego Dyrektora Ochrony Środowiska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Bydgoszczy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dnia 27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sierpnia 2024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r.</w:t>
      </w:r>
    </w:p>
    <w:p w:rsidR="00A77B3E">
      <w:pPr>
        <w:keepNext/>
        <w:spacing w:before="0" w:after="48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Określenie działań ochronnych na obszarze ochrony czynnej, z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podaniem ich rodzaju, zakresu i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lokalizacji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579"/>
        <w:gridCol w:w="2266"/>
        <w:gridCol w:w="4142"/>
        <w:gridCol w:w="3095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uto" w:val="0"/>
        </w:trPr>
        <w:tc>
          <w:tcPr>
            <w:tcW w:w="5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/>
              </w:rPr>
              <w:t>Lp.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/>
              </w:rPr>
              <w:t>Rodzaj działań ochronnych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/>
              </w:rPr>
              <w:t>Zakres działań ochronnych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Lokalizacja działań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ochronnych</w:t>
            </w:r>
            <w:r>
              <w:rPr>
                <w:rStyle w:val="FootnoteReference"/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perscript"/>
              </w:rPr>
              <w:footnoteReference w:customMarkFollows="1" w:id="2"/>
              <w:t xml:space="preserve">1)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643"/>
        </w:trPr>
        <w:tc>
          <w:tcPr>
            <w:tcW w:w="5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Ekstensywne koszenie lub wypas owiec i kóz. Wycinanie krzewów.   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Odkrzaczanie powierzchni, odsłanianie stanowisk cennych gatunków roślin, charakterystycznych dla zarośli, muraw i świetlistych dąbrów, według potrzeb, jednak nie rzadziej niż raz na 10 lat. Alternatywnie działanie możliwe do realizacji także poprzez wypas owiec, kóz. Usuwanie biomasy. Gromadzenie pozyskanego materiału dopuszcza się u podnóża rezerwatu w oddziałach 48b, 48i, Leśnictwa Szpetal, Nadleśnictwa Włocławek.</w:t>
            </w:r>
          </w:p>
          <w:p>
            <w:pPr>
              <w:jc w:val="left"/>
            </w:pPr>
            <w:r>
              <w:t xml:space="preserve">Zarządca terenu,  Nadleśnictwo Włocławek, podczas corocznego przeglądu rezerwatu określi potrzebę zaplanowania powyższych działań, a ich wykonanie oraz zakres będzie podlegać zatwierdzeniu przez Regionalnego Dyrektora Ochrony Środowiska w Bydgoszczy.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oddziały 48a, 48f</w:t>
            </w:r>
            <w:r>
              <w:t> </w:t>
            </w:r>
            <w:r>
              <w:t>, Leśnictwa Szpetal, Nadleśnictwa Włocławek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643"/>
        </w:trPr>
        <w:tc>
          <w:tcPr>
            <w:tcW w:w="5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Utrzymanie drzewostanów nasiennych.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W drzewostanach nasiennych usunięcie  gatunków przeszkadzających w kwitnieniu i owocowaniu drzew nasiennych, usunięcie drzew wadliwych i uregulowanie zwarcia drzewostanu według potrzeb. Wykonanie prac oraz ich zakres będzie podlegać zatwierdzeniu przez Regionalnego Dyrektora Ochrony Środowiska w Bydgoszczy.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oddziały 49k, 49l,49o,  Leśnictwa Szpetal, Nadleśnictwa Włocławek</w:t>
            </w:r>
          </w:p>
        </w:tc>
      </w:tr>
    </w:tbl>
    <w:p w:rsidR="00A77B3E">
      <w:pPr>
        <w:keepNext w:val="0"/>
        <w:keepLines w:val="0"/>
        <w:spacing w:before="120" w:after="120" w:line="240" w:lineRule="auto"/>
        <w:ind w:left="283" w:right="0" w:firstLine="227"/>
        <w:jc w:val="righ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drawing>
          <wp:inline>
            <wp:extent cx="2383536" cy="1505712"/>
            <wp:docPr id="100005" name="" descr="Obraz w treści dokumen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83536" cy="1505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B3E">
      <w:pPr>
        <w:keepNext w:val="0"/>
        <w:keepLines w:val="0"/>
        <w:spacing w:before="120" w:after="120" w:line="240" w:lineRule="auto"/>
        <w:ind w:left="283" w:right="0" w:firstLine="227"/>
        <w:jc w:val="righ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sectPr>
          <w:footerReference w:type="default" r:id="rId11"/>
          <w:endnotePr>
            <w:numFmt w:val="decimal"/>
          </w:endnotePr>
          <w:type w:val="nextPage"/>
          <w:pgSz w:w="11906" w:h="16838"/>
          <w:pgMar w:top="992" w:right="1020" w:bottom="992" w:left="1020" w:header="708" w:footer="708" w:gutter="0"/>
          <w:pgNumType w:start="1"/>
          <w:cols w:space="708"/>
          <w:docGrid w:linePitch="360"/>
        </w:sectPr>
      </w:pP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jc w:val="left"/>
        <w:rPr>
          <w:color w:val="000000"/>
          <w:szCs w:val="20"/>
          <w:shd w:val="clear" w:color="auto" w:fill="FFFFFF"/>
          <w:lang w:val="x-none" w:eastAsia="en-US" w:bidi="ar-SA"/>
        </w:rPr>
      </w:pP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jc w:val="center"/>
        <w:rPr>
          <w:b/>
          <w:caps/>
          <w:color w:val="000000"/>
          <w:szCs w:val="20"/>
          <w:shd w:val="clear" w:color="auto" w:fill="FFFFFF"/>
          <w:lang w:val="x-none" w:eastAsia="en-US" w:bidi="ar-SA"/>
        </w:rPr>
      </w:pPr>
      <w:r>
        <w:rPr>
          <w:b/>
          <w:caps/>
          <w:color w:val="000000"/>
          <w:szCs w:val="20"/>
          <w:shd w:val="clear" w:color="auto" w:fill="FFFFFF"/>
          <w:lang w:val="x-none" w:eastAsia="en-US" w:bidi="ar-SA"/>
        </w:rPr>
        <w:t>uzasadnienie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jc w:val="center"/>
        <w:rPr>
          <w:b/>
          <w:caps/>
          <w:color w:val="000000"/>
          <w:szCs w:val="20"/>
          <w:shd w:val="clear" w:color="auto" w:fill="FFFFFF"/>
          <w:lang w:val="x-none" w:eastAsia="en-US" w:bidi="ar-SA"/>
        </w:rPr>
      </w:pP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340"/>
        <w:contextualSpacing w:val="0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  <w:lang w:val="x-none" w:eastAsia="en-US" w:bidi="ar-SA"/>
        </w:rPr>
        <w:t>Plan ochrony dla rezerwatu przyrody „</w:t>
      </w:r>
      <w:r>
        <w:rPr>
          <w:color w:val="000000"/>
          <w:szCs w:val="20"/>
          <w:shd w:val="clear" w:color="auto" w:fill="FFFFFF"/>
        </w:rPr>
        <w:t>Kulin</w:t>
      </w:r>
      <w:r>
        <w:rPr>
          <w:color w:val="000000"/>
          <w:szCs w:val="20"/>
          <w:shd w:val="clear" w:color="auto" w:fill="FFFFFF"/>
          <w:lang w:val="x-none" w:eastAsia="en-US" w:bidi="ar-SA"/>
        </w:rPr>
        <w:t>”</w:t>
      </w:r>
      <w:r>
        <w:rPr>
          <w:color w:val="000000"/>
          <w:szCs w:val="20"/>
          <w:shd w:val="clear" w:color="auto" w:fill="FFFFFF"/>
        </w:rPr>
        <w:t xml:space="preserve"> je</w:t>
      </w:r>
      <w:r>
        <w:rPr>
          <w:color w:val="000000"/>
          <w:szCs w:val="20"/>
          <w:shd w:val="clear" w:color="auto" w:fill="FFFFFF"/>
          <w:lang w:val="x-none" w:eastAsia="en-US" w:bidi="ar-SA"/>
        </w:rPr>
        <w:t>st dokumentem określającym spos</w:t>
      </w:r>
      <w:r>
        <w:rPr>
          <w:color w:val="000000"/>
          <w:szCs w:val="20"/>
          <w:shd w:val="clear" w:color="auto" w:fill="FFFFFF"/>
        </w:rPr>
        <w:t>ób ochrony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</w:t>
      </w:r>
      <w:r>
        <w:rPr>
          <w:color w:val="000000"/>
          <w:szCs w:val="20"/>
          <w:shd w:val="clear" w:color="auto" w:fill="FFFFFF"/>
        </w:rPr>
        <w:t>wielogatunkowych drzewostanów o cechach zbliżonych do naturalnych,</w:t>
      </w:r>
      <w:r>
        <w:rPr>
          <w:color w:val="000000"/>
          <w:szCs w:val="20"/>
          <w:shd w:val="clear" w:color="auto" w:fill="FFFFFF"/>
        </w:rPr>
        <w:t xml:space="preserve"> stanowiących przedmiot ochrony w rezerwacie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. Rezerwat przyrody został ustanowiony </w:t>
      </w:r>
      <w:r>
        <w:rPr>
          <w:color w:val="000000"/>
          <w:szCs w:val="20"/>
          <w:shd w:val="clear" w:color="auto" w:fill="FFFFFF"/>
        </w:rPr>
        <w:t>r</w:t>
      </w:r>
      <w:r>
        <w:rPr>
          <w:color w:val="000000"/>
          <w:szCs w:val="20"/>
          <w:shd w:val="clear" w:color="auto" w:fill="FFFFFF"/>
          <w:lang w:val="x-none" w:eastAsia="en-US" w:bidi="ar-SA"/>
        </w:rPr>
        <w:t>ozporządzenie</w:t>
      </w:r>
      <w:r>
        <w:rPr>
          <w:color w:val="000000"/>
          <w:szCs w:val="20"/>
          <w:shd w:val="clear" w:color="auto" w:fill="FFFFFF"/>
        </w:rPr>
        <w:t>m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Nr 277/01 Wojewody Kujawsko-Pomorskiego z dnia 2 października 2001 r. w sprawie uznania za rezerwat przyrody (Dz. Urz. Woj. Kuj-Pom. nr 80, poz. 1575, z późn. zm.)</w:t>
      </w:r>
      <w:r>
        <w:rPr>
          <w:color w:val="000000"/>
          <w:szCs w:val="20"/>
          <w:shd w:val="clear" w:color="auto" w:fill="FFFFFF"/>
        </w:rPr>
        <w:t>.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</w:t>
      </w:r>
      <w:r>
        <w:rPr>
          <w:color w:val="000000"/>
          <w:szCs w:val="20"/>
          <w:shd w:val="clear" w:color="auto" w:fill="FFFFFF"/>
        </w:rPr>
        <w:t>Aktualnie obowiązuje z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arządzenie </w:t>
      </w:r>
      <w:r>
        <w:rPr>
          <w:color w:val="000000"/>
          <w:szCs w:val="20"/>
          <w:shd w:val="clear" w:color="auto" w:fill="FFFFFF"/>
          <w:lang w:val="x-none" w:eastAsia="en-US" w:bidi="ar-SA"/>
        </w:rPr>
        <w:t>Regionalnego Dyrektora Ochrony Środowiska w Bydgoszczy z dnia 14 grudnia 2017 r. w sprawie rezerwatu przyrody „Kulin”. (Dz. Urz. Woj. Kuj-Pom. poz. 5372)</w:t>
      </w:r>
      <w:r>
        <w:rPr>
          <w:color w:val="000000"/>
          <w:szCs w:val="20"/>
          <w:shd w:val="clear" w:color="auto" w:fill="FFFFFF"/>
        </w:rPr>
        <w:t>.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  <w:lang w:val="x-none" w:eastAsia="en-US" w:bidi="ar-SA"/>
        </w:rPr>
        <w:t>Dla właściwego funkcjonowania rezerwatu i jego ochrony plan ochrony zgodnie z art. 20 ustawy z dnia 16 kwietnia 2004 roku o ochronie przyrody (Dz. U. z 2023 r. poz. 1336</w:t>
      </w:r>
      <w:r>
        <w:rPr>
          <w:color w:val="000000"/>
          <w:szCs w:val="20"/>
          <w:shd w:val="clear" w:color="auto" w:fill="FFFFFF"/>
        </w:rPr>
        <w:t xml:space="preserve"> ze zm.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) sporządza się na okres 20 lat. Zgodnie z art. 19 ust. 6 ustawy o ochronie przyrody Regionalny Dyrektor Ochrony Środowiska ustanawia w drodze zarządzenia plan ochrony dla rezerwatu przyrody, sporządzony na podstawie w art. 20 ww. ustawy. 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</w:rPr>
        <w:t xml:space="preserve">Obwieszczeniem z dnia 1 marca 2023 r., znak WOP.6202.5.2023.KLD, Regionalny Dyrektor Ochrony Środowiska w Bydgoszczy zawiadomił o przystąpieniu do sporządzenia projektu planu ochrony dla rezerwatu przyrody </w:t>
      </w:r>
      <w:r>
        <w:rPr>
          <w:color w:val="000000"/>
          <w:szCs w:val="20"/>
          <w:shd w:val="clear" w:color="auto" w:fill="FFFFFF"/>
          <w:lang w:val="x-none" w:eastAsia="en-US" w:bidi="ar-SA"/>
        </w:rPr>
        <w:t>„</w:t>
      </w:r>
      <w:r>
        <w:rPr>
          <w:color w:val="000000"/>
          <w:szCs w:val="20"/>
          <w:shd w:val="clear" w:color="auto" w:fill="FFFFFF"/>
        </w:rPr>
        <w:t>Kulin</w:t>
      </w:r>
      <w:r>
        <w:rPr>
          <w:color w:val="000000"/>
          <w:szCs w:val="20"/>
          <w:shd w:val="clear" w:color="auto" w:fill="FFFFFF"/>
          <w:lang w:val="x-none" w:eastAsia="en-US" w:bidi="ar-SA"/>
        </w:rPr>
        <w:t>”</w:t>
      </w:r>
      <w:r>
        <w:rPr>
          <w:color w:val="000000"/>
          <w:szCs w:val="20"/>
          <w:shd w:val="clear" w:color="auto" w:fill="FFFFFF"/>
        </w:rPr>
        <w:t xml:space="preserve">. 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Obwieszczeniem </w:t>
      </w:r>
      <w:r>
        <w:rPr>
          <w:color w:val="000000"/>
          <w:szCs w:val="20"/>
          <w:shd w:val="clear" w:color="auto" w:fill="FFFFFF"/>
          <w:lang w:val="x-none" w:eastAsia="en-US" w:bidi="ar-SA"/>
        </w:rPr>
        <w:t>z dnia</w:t>
      </w:r>
      <w:r>
        <w:rPr>
          <w:color w:val="000000"/>
          <w:szCs w:val="20"/>
          <w:shd w:val="clear" w:color="auto" w:fill="FFFFFF"/>
        </w:rPr>
        <w:t xml:space="preserve"> 4 kwietnia 2024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r., znak</w:t>
      </w:r>
      <w:r>
        <w:rPr>
          <w:color w:val="000000"/>
          <w:szCs w:val="20"/>
          <w:shd w:val="clear" w:color="auto" w:fill="FFFFFF"/>
        </w:rPr>
        <w:t xml:space="preserve"> WOP.6202.1.2024.KLD.5</w:t>
      </w:r>
      <w:r>
        <w:rPr>
          <w:color w:val="000000"/>
          <w:szCs w:val="20"/>
          <w:shd w:val="clear" w:color="auto" w:fill="FFFFFF"/>
          <w:lang w:val="x-none" w:eastAsia="en-US" w:bidi="ar-SA"/>
        </w:rPr>
        <w:t>, Regionalny Dyrektor Ochrony Środowiska w Bydgoszczy zawiadomił o możliwości udziału społeczeństwa w postępowaniu poprzez zapoznanie się z projektem planu ochrony i </w:t>
      </w:r>
      <w:r>
        <w:rPr>
          <w:color w:val="000000"/>
          <w:szCs w:val="20"/>
          <w:shd w:val="clear" w:color="auto" w:fill="FFFFFF"/>
        </w:rPr>
        <w:t xml:space="preserve">o </w:t>
      </w:r>
      <w:r>
        <w:rPr>
          <w:color w:val="000000"/>
          <w:szCs w:val="20"/>
          <w:shd w:val="clear" w:color="auto" w:fill="FFFFFF"/>
          <w:lang w:val="x-none" w:eastAsia="en-US" w:bidi="ar-SA"/>
        </w:rPr>
        <w:t>możliwoś</w:t>
      </w:r>
      <w:r>
        <w:rPr>
          <w:color w:val="000000"/>
          <w:szCs w:val="20"/>
          <w:shd w:val="clear" w:color="auto" w:fill="FFFFFF"/>
        </w:rPr>
        <w:t>ci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składania uwag i wniosków. Informacja została podana do publicznej wiadomości zgodnie z</w:t>
      </w:r>
      <w:r>
        <w:rPr>
          <w:color w:val="000000"/>
          <w:szCs w:val="20"/>
          <w:shd w:val="clear" w:color="auto" w:fill="FFFFFF"/>
        </w:rPr>
        <w:t xml:space="preserve"> art. 19 ust. 1a </w:t>
      </w:r>
      <w:r>
        <w:rPr>
          <w:color w:val="000000"/>
          <w:szCs w:val="20"/>
          <w:shd w:val="clear" w:color="auto" w:fill="FFFFFF"/>
          <w:lang w:val="x-none" w:eastAsia="en-US" w:bidi="ar-SA"/>
        </w:rPr>
        <w:t>ustawy z dnia 16 kwietnia 2004 roku o ochronie przyrody (Dz. U. z 2023 r. poz. 1336</w:t>
      </w:r>
      <w:r>
        <w:rPr>
          <w:color w:val="000000"/>
          <w:szCs w:val="20"/>
          <w:shd w:val="clear" w:color="auto" w:fill="FFFFFF"/>
        </w:rPr>
        <w:t xml:space="preserve"> ze zm.</w:t>
      </w:r>
      <w:r>
        <w:rPr>
          <w:color w:val="000000"/>
          <w:szCs w:val="20"/>
          <w:shd w:val="clear" w:color="auto" w:fill="FFFFFF"/>
          <w:lang w:val="x-none" w:eastAsia="en-US" w:bidi="ar-SA"/>
        </w:rPr>
        <w:t>)</w:t>
      </w:r>
      <w:r>
        <w:rPr>
          <w:color w:val="000000"/>
          <w:szCs w:val="20"/>
          <w:shd w:val="clear" w:color="auto" w:fill="FFFFFF"/>
        </w:rPr>
        <w:t>,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art. 3 ust. 1 pkt 11, art. 39 ustawy z dnia 3 października 2008 roku o udostępnieniu informacji o środowisku i jego ochronie, udziale społeczeństwa w ochronie środowiska oraz o ocenach oddziaływania na środowisko </w:t>
      </w:r>
      <w:r>
        <w:rPr>
          <w:color w:val="000000"/>
          <w:szCs w:val="20"/>
          <w:shd w:val="clear" w:color="auto" w:fill="FFFFFF"/>
          <w:lang w:val="en-US" w:eastAsia="en-US" w:bidi="en-US"/>
        </w:rPr>
        <w:t>(Dz. U. z 202</w:t>
      </w:r>
      <w:r>
        <w:rPr>
          <w:color w:val="000000"/>
          <w:szCs w:val="20"/>
          <w:shd w:val="clear" w:color="auto" w:fill="FFFFFF"/>
          <w:lang w:val="x-none" w:eastAsia="en-US" w:bidi="ar-SA"/>
        </w:rPr>
        <w:t>3 r., poz. 1094</w:t>
      </w:r>
      <w:r>
        <w:rPr>
          <w:color w:val="000000"/>
          <w:szCs w:val="20"/>
          <w:shd w:val="clear" w:color="auto" w:fill="FFFFFF"/>
        </w:rPr>
        <w:t xml:space="preserve"> ze zm.</w:t>
      </w:r>
      <w:r>
        <w:rPr>
          <w:color w:val="000000"/>
          <w:szCs w:val="20"/>
          <w:shd w:val="clear" w:color="auto" w:fill="FFFFFF"/>
          <w:lang w:val="en-US" w:eastAsia="en-US" w:bidi="en-US"/>
        </w:rPr>
        <w:t>)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i rozporządzeniem Ministra Środowiska z dnia 12 maja 2005 r. w sprawie sporządzenia projektu planu ochrony dla parku narodowego, rezerwatu przyrody i parku krajobrazowego, dokonania zmian w tym planie oraz ochrony zasobów, tworów i składników przyrody (Dz. U. Nr 94, poz. 794)</w:t>
      </w:r>
      <w:r>
        <w:rPr>
          <w:color w:val="000000"/>
          <w:szCs w:val="20"/>
          <w:shd w:val="clear" w:color="auto" w:fill="FFFFFF"/>
        </w:rPr>
        <w:t xml:space="preserve"> oraz art. 49 ustawy z dnia 14 czerwca 1960 r. Kodeks postępowania administracyjnego </w:t>
      </w:r>
      <w:r>
        <w:rPr>
          <w:color w:val="000000"/>
          <w:szCs w:val="20"/>
          <w:shd w:val="clear" w:color="auto" w:fill="FFFFFF"/>
          <w:lang w:val="x-none" w:eastAsia="en-US" w:bidi="ar-SA"/>
        </w:rPr>
        <w:t>(t.j. Dz. U. z 2024 r. poz. 572)</w:t>
      </w:r>
      <w:r>
        <w:rPr>
          <w:color w:val="000000"/>
          <w:szCs w:val="20"/>
          <w:shd w:val="clear" w:color="auto" w:fill="FFFFFF"/>
          <w:lang w:val="x-none" w:eastAsia="en-US" w:bidi="ar-SA"/>
        </w:rPr>
        <w:t>.</w:t>
      </w:r>
      <w:r>
        <w:rPr>
          <w:color w:val="000000"/>
          <w:szCs w:val="20"/>
          <w:shd w:val="clear" w:color="auto" w:fill="FFFFFF"/>
        </w:rPr>
        <w:t xml:space="preserve"> Projekt zarządzenia </w:t>
      </w:r>
      <w:r>
        <w:rPr>
          <w:color w:val="000000"/>
          <w:szCs w:val="20"/>
          <w:shd w:val="clear" w:color="auto" w:fill="FFFFFF"/>
          <w:lang w:val="x-none" w:eastAsia="en-US" w:bidi="ar-SA"/>
        </w:rPr>
        <w:t>był podan</w:t>
      </w:r>
      <w:r>
        <w:rPr>
          <w:color w:val="000000"/>
          <w:szCs w:val="20"/>
          <w:shd w:val="clear" w:color="auto" w:fill="FFFFFF"/>
        </w:rPr>
        <w:t>y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do publicznej wiadomości również poprzez ogłoszenie w prasie</w:t>
      </w:r>
      <w:r>
        <w:rPr>
          <w:color w:val="000000"/>
          <w:szCs w:val="20"/>
          <w:shd w:val="clear" w:color="auto" w:fill="FFFFFF"/>
        </w:rPr>
        <w:t xml:space="preserve"> </w:t>
      </w:r>
      <w:r>
        <w:rPr>
          <w:color w:val="000000"/>
          <w:szCs w:val="20"/>
          <w:shd w:val="clear" w:color="auto" w:fill="FFFFFF"/>
          <w:lang w:val="x-none" w:eastAsia="en-US" w:bidi="ar-SA"/>
        </w:rPr>
        <w:t>„</w:t>
      </w:r>
      <w:r>
        <w:rPr>
          <w:color w:val="000000"/>
          <w:szCs w:val="20"/>
          <w:shd w:val="clear" w:color="auto" w:fill="FFFFFF"/>
        </w:rPr>
        <w:t>Gazecie Pomorskiej</w:t>
      </w:r>
      <w:r>
        <w:rPr>
          <w:color w:val="000000"/>
          <w:szCs w:val="20"/>
          <w:shd w:val="clear" w:color="auto" w:fill="FFFFFF"/>
          <w:lang w:val="x-none" w:eastAsia="en-US" w:bidi="ar-SA"/>
        </w:rPr>
        <w:t>”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o odpowiednim do rodzaju dokumentu zasięgu</w:t>
      </w:r>
      <w:r>
        <w:rPr>
          <w:color w:val="000000"/>
          <w:szCs w:val="20"/>
          <w:shd w:val="clear" w:color="auto" w:fill="FFFFFF"/>
        </w:rPr>
        <w:t>.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</w:rPr>
      </w:pPr>
      <w:r>
        <w:rPr>
          <w:color w:val="000000"/>
          <w:szCs w:val="20"/>
          <w:shd w:val="clear" w:color="auto" w:fill="FFFFFF"/>
        </w:rPr>
        <w:t>Projekt planu ochrony zamieszczono również w publicznie dostępnym wykazie danych na Ekoportalu (nr karty 196/2024).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</w:rPr>
      </w:pPr>
      <w:r>
        <w:rPr>
          <w:color w:val="000000"/>
          <w:szCs w:val="20"/>
          <w:shd w:val="clear" w:color="auto" w:fill="FFFFFF"/>
        </w:rPr>
        <w:t>W trakcie przeprowadzonych konsultacji społecznych nie wpłynęły do tut. Urzędu uwagi do przedmiotowego projektu planu ochrony.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</w:rPr>
      </w:pPr>
      <w:r>
        <w:rPr>
          <w:color w:val="000000"/>
          <w:szCs w:val="20"/>
          <w:shd w:val="clear" w:color="auto" w:fill="FFFFFF"/>
          <w:lang w:val="ar-SA" w:eastAsia="ar-SA" w:bidi="ar-SA"/>
        </w:rPr>
        <w:t>P</w:t>
      </w:r>
      <w:r>
        <w:rPr>
          <w:color w:val="000000"/>
          <w:szCs w:val="20"/>
          <w:shd w:val="clear" w:color="auto" w:fill="FFFFFF"/>
        </w:rPr>
        <w:t>rojekt planu ochrony</w:t>
      </w:r>
      <w:r>
        <w:rPr>
          <w:color w:val="000000"/>
          <w:szCs w:val="20"/>
          <w:shd w:val="clear" w:color="auto" w:fill="FFFFFF"/>
          <w:lang w:val="ar-SA" w:eastAsia="ar-SA" w:bidi="ar-SA"/>
        </w:rPr>
        <w:t xml:space="preserve"> dla rezerwatu przyrody </w:t>
      </w:r>
      <w:r>
        <w:rPr>
          <w:color w:val="000000"/>
          <w:szCs w:val="20"/>
          <w:shd w:val="clear" w:color="auto" w:fill="FFFFFF"/>
          <w:lang w:val="x-none" w:eastAsia="en-US" w:bidi="ar-SA"/>
        </w:rPr>
        <w:t>„</w:t>
      </w:r>
      <w:r>
        <w:rPr>
          <w:color w:val="000000"/>
          <w:szCs w:val="20"/>
          <w:shd w:val="clear" w:color="auto" w:fill="FFFFFF"/>
        </w:rPr>
        <w:t>Kulin</w:t>
      </w:r>
      <w:r>
        <w:rPr>
          <w:color w:val="000000"/>
          <w:szCs w:val="20"/>
          <w:shd w:val="clear" w:color="auto" w:fill="FFFFFF"/>
          <w:lang w:val="x-none" w:eastAsia="en-US" w:bidi="ar-SA"/>
        </w:rPr>
        <w:t>”</w:t>
      </w:r>
      <w:r>
        <w:rPr>
          <w:color w:val="000000"/>
          <w:szCs w:val="20"/>
          <w:shd w:val="clear" w:color="auto" w:fill="FFFFFF"/>
          <w:lang w:val="ar-SA" w:eastAsia="ar-SA" w:bidi="ar-SA"/>
        </w:rPr>
        <w:t xml:space="preserve"> został zaopiniowan</w:t>
      </w:r>
      <w:r>
        <w:rPr>
          <w:color w:val="000000"/>
          <w:szCs w:val="20"/>
          <w:shd w:val="clear" w:color="auto" w:fill="FFFFFF"/>
        </w:rPr>
        <w:t>y pozytywnie</w:t>
      </w:r>
      <w:r>
        <w:rPr>
          <w:color w:val="000000"/>
          <w:szCs w:val="20"/>
          <w:shd w:val="clear" w:color="auto" w:fill="FFFFFF"/>
          <w:lang w:val="ar-SA" w:eastAsia="ar-SA" w:bidi="ar-SA"/>
        </w:rPr>
        <w:t xml:space="preserve"> przez </w:t>
      </w:r>
      <w:r>
        <w:rPr>
          <w:color w:val="000000"/>
          <w:szCs w:val="20"/>
          <w:shd w:val="clear" w:color="auto" w:fill="FFFFFF"/>
        </w:rPr>
        <w:t>zarządcę terenu rezerwatu P</w:t>
      </w:r>
      <w:r>
        <w:rPr>
          <w:color w:val="000000"/>
          <w:szCs w:val="20"/>
          <w:shd w:val="clear" w:color="auto" w:fill="FFFFFF"/>
        </w:rPr>
        <w:t xml:space="preserve">aństwowe Gospodarstwo Leśne Lasy Państwowe Nadleśnictwo Włocławek pismem </w:t>
      </w:r>
      <w:r>
        <w:rPr>
          <w:color w:val="000000"/>
          <w:szCs w:val="20"/>
          <w:shd w:val="clear" w:color="auto" w:fill="FFFFFF"/>
        </w:rPr>
        <w:t xml:space="preserve">z dnia 19 marca 2024 r., znak </w:t>
      </w:r>
      <w:r>
        <w:rPr>
          <w:color w:val="000000"/>
          <w:szCs w:val="20"/>
          <w:shd w:val="clear" w:color="auto" w:fill="FFFFFF"/>
          <w:lang w:val="x-none" w:eastAsia="en-US" w:bidi="ar-SA"/>
        </w:rPr>
        <w:t>ZG.7212.1.3.2024</w:t>
      </w:r>
      <w:r>
        <w:rPr>
          <w:color w:val="000000"/>
          <w:szCs w:val="20"/>
          <w:shd w:val="clear" w:color="auto" w:fill="FFFFFF"/>
        </w:rPr>
        <w:t>.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</w:rPr>
      </w:pPr>
      <w:r>
        <w:rPr>
          <w:color w:val="000000"/>
          <w:szCs w:val="20"/>
          <w:shd w:val="clear" w:color="auto" w:fill="FFFFFF"/>
        </w:rPr>
        <w:t>W rezerwacie przyrody „Kulin” wyznaczono obszary ochrony ścisłej i czynnej. Działania ochronne na obszarze ochrony czynnej zaplanowane zostały w celu eliminacji zagrożenia istniejącego wewnętrznego, jakim jest s</w:t>
      </w:r>
      <w:r>
        <w:rPr>
          <w:color w:val="000000"/>
          <w:szCs w:val="20"/>
          <w:shd w:val="clear" w:color="auto" w:fill="FFFFFF"/>
        </w:rPr>
        <w:t xml:space="preserve">ukcesja naturalna, zarastanie </w:t>
      </w:r>
      <w:r>
        <w:rPr>
          <w:color w:val="000000"/>
          <w:szCs w:val="20"/>
          <w:shd w:val="clear" w:color="auto" w:fill="FFFFFF"/>
          <w:lang w:val="en-US" w:eastAsia="en-US" w:bidi="en-US"/>
        </w:rPr>
        <w:t>stanowisk cennych gatunków roślin, charakterystycznych dla zarośli, muraw i świetlistych dąbrów</w:t>
      </w:r>
      <w:r>
        <w:rPr>
          <w:color w:val="000000"/>
          <w:szCs w:val="20"/>
          <w:shd w:val="clear" w:color="auto" w:fill="FFFFFF"/>
        </w:rPr>
        <w:t>. W celu eliminacji tego zagrożenia zaplanowano od</w:t>
      </w:r>
      <w:r>
        <w:rPr>
          <w:color w:val="000000"/>
          <w:szCs w:val="20"/>
          <w:shd w:val="clear" w:color="auto" w:fill="FFFFFF"/>
          <w:lang w:val="en-US" w:eastAsia="en-US" w:bidi="en-US"/>
        </w:rPr>
        <w:t xml:space="preserve">słanianie stanowisk cennych gatunków roślin, głównie dyptamu </w:t>
      </w:r>
      <w:r>
        <w:rPr>
          <w:color w:val="000000"/>
          <w:szCs w:val="20"/>
          <w:shd w:val="clear" w:color="auto" w:fill="FFFFFF"/>
          <w:lang w:val="en-US" w:eastAsia="en-US" w:bidi="en-US"/>
        </w:rPr>
        <w:t>jesionolistnego</w:t>
      </w:r>
      <w:r>
        <w:rPr>
          <w:color w:val="000000"/>
          <w:szCs w:val="20"/>
          <w:shd w:val="clear" w:color="auto" w:fill="FFFFFF"/>
        </w:rPr>
        <w:t xml:space="preserve"> </w:t>
      </w:r>
      <w:r>
        <w:rPr>
          <w:i/>
          <w:color w:val="202124"/>
          <w:szCs w:val="20"/>
          <w:shd w:val="clear" w:color="auto" w:fill="FFFFFF"/>
          <w:lang w:val="x-none" w:eastAsia="en-US" w:bidi="ar-SA"/>
        </w:rPr>
        <w:t>Dictamnus albus</w:t>
      </w:r>
      <w:r>
        <w:rPr>
          <w:color w:val="000000"/>
          <w:szCs w:val="20"/>
          <w:shd w:val="clear" w:color="auto" w:fill="FFFFFF"/>
          <w:lang w:val="en-US" w:eastAsia="en-US" w:bidi="en-US"/>
        </w:rPr>
        <w:t xml:space="preserve"> charakterystycznych dla zarośli, muraw i świetlistych dąbrów</w:t>
      </w:r>
      <w:r>
        <w:rPr>
          <w:color w:val="000000"/>
          <w:szCs w:val="20"/>
          <w:shd w:val="clear" w:color="auto" w:fill="FFFFFF"/>
        </w:rPr>
        <w:t xml:space="preserve">, które </w:t>
      </w:r>
      <w:r>
        <w:rPr>
          <w:color w:val="000000"/>
          <w:szCs w:val="20"/>
          <w:shd w:val="clear" w:color="auto" w:fill="FFFFFF"/>
        </w:rPr>
        <w:t xml:space="preserve">może być realizowane poprzez usuwanie krzewów, ekstensywne koszenie lub wypas owiec i kóz. Kształtowanie właściwych warunków siedliskowych dla cennych gatunków roślin </w:t>
      </w:r>
      <w:r>
        <w:rPr>
          <w:color w:val="000000"/>
          <w:szCs w:val="20"/>
          <w:shd w:val="clear" w:color="auto" w:fill="FFFFFF"/>
          <w:lang w:val="en-US" w:eastAsia="en-US" w:bidi="en-US"/>
        </w:rPr>
        <w:t xml:space="preserve">charakterystycznych dla zarośli, muraw i świetlistych dąbrów, </w:t>
      </w:r>
      <w:r>
        <w:rPr>
          <w:color w:val="000000"/>
          <w:szCs w:val="20"/>
          <w:shd w:val="clear" w:color="auto" w:fill="FFFFFF"/>
        </w:rPr>
        <w:t>głównie dyptamu jesionolistnego, będzie wykonywanie według potrzeb</w:t>
      </w:r>
      <w:r>
        <w:rPr>
          <w:color w:val="000000"/>
          <w:szCs w:val="20"/>
          <w:shd w:val="clear" w:color="auto" w:fill="FFFFFF"/>
          <w:lang w:val="en-US" w:eastAsia="en-US" w:bidi="en-US"/>
        </w:rPr>
        <w:t>, jednak nie rzadziej niż raz na 10 lat.</w:t>
      </w:r>
      <w:r>
        <w:rPr>
          <w:color w:val="000000"/>
          <w:szCs w:val="20"/>
          <w:shd w:val="clear" w:color="auto" w:fill="FFFFFF"/>
        </w:rPr>
        <w:t xml:space="preserve"> </w:t>
      </w:r>
      <w:r>
        <w:rPr>
          <w:color w:val="000000"/>
          <w:szCs w:val="20"/>
          <w:shd w:val="clear" w:color="auto" w:fill="FFFFFF"/>
          <w:lang w:val="en-US" w:eastAsia="en-US" w:bidi="en-US"/>
        </w:rPr>
        <w:t>Biomasa pozyskana podczas realizacji działań ochronnych powinna być usuwana poza obszar rezerwatu,</w:t>
      </w:r>
      <w:r>
        <w:rPr>
          <w:color w:val="000000"/>
          <w:szCs w:val="20"/>
          <w:shd w:val="clear" w:color="auto" w:fill="FFFFFF"/>
        </w:rPr>
        <w:t xml:space="preserve"> </w:t>
      </w:r>
      <w:r>
        <w:rPr>
          <w:color w:val="000000"/>
          <w:szCs w:val="20"/>
          <w:shd w:val="clear" w:color="auto" w:fill="FFFFFF"/>
          <w:lang w:val="en-US" w:eastAsia="en-US" w:bidi="en-US"/>
        </w:rPr>
        <w:t>ewentualne</w:t>
      </w:r>
      <w:r>
        <w:rPr>
          <w:color w:val="000000"/>
          <w:szCs w:val="20"/>
          <w:shd w:val="clear" w:color="auto" w:fill="FFFFFF"/>
        </w:rPr>
        <w:t xml:space="preserve"> </w:t>
      </w:r>
      <w:r>
        <w:rPr>
          <w:color w:val="000000"/>
          <w:szCs w:val="20"/>
          <w:shd w:val="clear" w:color="auto" w:fill="FFFFFF"/>
          <w:lang w:val="en-US" w:eastAsia="en-US" w:bidi="en-US"/>
        </w:rPr>
        <w:t xml:space="preserve">gromadzenie pozyskanego materiału dopuszcza się u podnóża rezerwatu w 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oddziałach </w:t>
      </w:r>
      <w:r>
        <w:rPr>
          <w:color w:val="000000"/>
          <w:szCs w:val="20"/>
          <w:shd w:val="clear" w:color="auto" w:fill="FFFFFF"/>
          <w:lang w:val="en-US" w:eastAsia="en-US" w:bidi="en-US"/>
        </w:rPr>
        <w:t>48b, 48i.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, </w:t>
      </w:r>
      <w:r>
        <w:rPr>
          <w:color w:val="000000"/>
          <w:szCs w:val="20"/>
          <w:shd w:val="clear" w:color="auto" w:fill="FFFFFF"/>
          <w:lang w:val="en-US" w:eastAsia="en-US" w:bidi="en-US"/>
        </w:rPr>
        <w:t xml:space="preserve">Leśnictwa </w:t>
      </w:r>
      <w:r>
        <w:rPr>
          <w:color w:val="000000"/>
          <w:szCs w:val="20"/>
          <w:shd w:val="clear" w:color="auto" w:fill="FFFFFF"/>
          <w:lang w:val="x-none" w:eastAsia="en-US" w:bidi="ar-SA"/>
        </w:rPr>
        <w:t>Szpetal</w:t>
      </w:r>
      <w:r>
        <w:rPr>
          <w:color w:val="000000"/>
          <w:szCs w:val="20"/>
          <w:shd w:val="clear" w:color="auto" w:fill="FFFFFF"/>
          <w:lang w:val="en-US" w:eastAsia="en-US" w:bidi="en-US"/>
        </w:rPr>
        <w:t>, Nadleśnictwa Włocławek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. </w:t>
      </w:r>
      <w:r>
        <w:rPr>
          <w:color w:val="000000"/>
          <w:szCs w:val="20"/>
          <w:shd w:val="clear" w:color="auto" w:fill="FFFFFF"/>
          <w:lang w:val="en-US" w:eastAsia="en-US" w:bidi="en-US"/>
        </w:rPr>
        <w:t>W celu określenia potrzeby realizacji ww. działań, zarządca terenu,</w:t>
      </w:r>
      <w:r>
        <w:rPr>
          <w:color w:val="000000"/>
          <w:szCs w:val="20"/>
          <w:shd w:val="clear" w:color="auto" w:fill="FFFFFF"/>
        </w:rPr>
        <w:t xml:space="preserve"> </w:t>
      </w:r>
      <w:r>
        <w:rPr>
          <w:color w:val="000000"/>
          <w:szCs w:val="20"/>
          <w:shd w:val="clear" w:color="auto" w:fill="FFFFFF"/>
          <w:lang w:val="en-US" w:eastAsia="en-US" w:bidi="en-US"/>
        </w:rPr>
        <w:t>Nadleśnictwo Włocławek, co roku, podczas przeglądu rezerwatu dokona oceny stanu siedliska oraz populacji, m.in. dyptamu jesionolistnego</w:t>
      </w:r>
      <w:r>
        <w:rPr>
          <w:color w:val="000000"/>
          <w:szCs w:val="20"/>
          <w:shd w:val="clear" w:color="auto" w:fill="FFFFFF"/>
          <w:lang w:val="x-none" w:eastAsia="en-US" w:bidi="ar-SA"/>
        </w:rPr>
        <w:t>.</w:t>
      </w:r>
      <w:r>
        <w:rPr>
          <w:color w:val="000000"/>
          <w:szCs w:val="20"/>
          <w:shd w:val="clear" w:color="auto" w:fill="FFFFFF"/>
          <w:lang w:val="en-US" w:eastAsia="en-US" w:bidi="en-US"/>
        </w:rPr>
        <w:t xml:space="preserve"> Ostateczny zakres oraz wykonanie działań ochronnych</w:t>
      </w:r>
      <w:r>
        <w:rPr>
          <w:color w:val="000000"/>
          <w:szCs w:val="20"/>
          <w:shd w:val="clear" w:color="auto" w:fill="FFFFFF"/>
        </w:rPr>
        <w:t xml:space="preserve"> </w:t>
      </w:r>
      <w:r>
        <w:rPr>
          <w:color w:val="000000"/>
          <w:szCs w:val="20"/>
          <w:shd w:val="clear" w:color="auto" w:fill="FFFFFF"/>
          <w:lang w:val="en-US" w:eastAsia="en-US" w:bidi="en-US"/>
        </w:rPr>
        <w:t xml:space="preserve">będzie podlegać zatwierdzeniu przez Regionalnego Dyrektora Ochrony Środowiska w Bydgoszczy. </w:t>
      </w:r>
      <w:r>
        <w:rPr>
          <w:color w:val="000000"/>
          <w:szCs w:val="20"/>
          <w:shd w:val="clear" w:color="auto" w:fill="FFFFFF"/>
        </w:rPr>
        <w:t>Kolejnym zagrożeniem istniejącym, wewnętrznym jest</w:t>
      </w:r>
      <w:r>
        <w:rPr>
          <w:color w:val="000000"/>
          <w:szCs w:val="20"/>
          <w:shd w:val="clear" w:color="auto" w:fill="FFFFFF"/>
        </w:rPr>
        <w:t xml:space="preserve"> </w:t>
      </w:r>
      <w:r>
        <w:rPr>
          <w:color w:val="000000"/>
          <w:szCs w:val="20"/>
          <w:shd w:val="clear" w:color="auto" w:fill="FFFFFF"/>
          <w:lang w:val="x-none" w:eastAsia="en-US" w:bidi="ar-SA"/>
        </w:rPr>
        <w:t>w drzewostanach nasiennych występowanie drzew wadliwych oraz gatunków przeszkadzających w kwitnieniu i owocowaniu</w:t>
      </w:r>
      <w:r>
        <w:rPr>
          <w:color w:val="000000"/>
          <w:szCs w:val="20"/>
          <w:shd w:val="clear" w:color="auto" w:fill="FFFFFF"/>
        </w:rPr>
        <w:t>. W celu eliminacji tego zagrożenia zaplanowano w drzewostanach nasiennych usunięcie gatunków przeszkadzających w kwitnieniu i owocowaniu drzew nasiennych, usunięcie drzew wadliwych i uregulowanie zwarcia drzewostanu według potrzeb. W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ykonanie </w:t>
      </w:r>
      <w:r>
        <w:rPr>
          <w:color w:val="000000"/>
          <w:szCs w:val="20"/>
          <w:shd w:val="clear" w:color="auto" w:fill="FFFFFF"/>
        </w:rPr>
        <w:t xml:space="preserve">prac 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oraz </w:t>
      </w:r>
      <w:r>
        <w:rPr>
          <w:color w:val="000000"/>
          <w:szCs w:val="20"/>
          <w:shd w:val="clear" w:color="auto" w:fill="FFFFFF"/>
        </w:rPr>
        <w:t xml:space="preserve">ich 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zakres będzie podlegać zatwierdzeniu przez Regionalnego Dyrektora Ochrony Środowiska w Bydgoszczy. 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</w:rPr>
      </w:pPr>
      <w:r>
        <w:rPr>
          <w:color w:val="000000"/>
          <w:szCs w:val="20"/>
          <w:shd w:val="clear" w:color="auto" w:fill="FFFFFF"/>
        </w:rPr>
        <w:t xml:space="preserve">W załączniku nr 1 do niniejszego zarządzenia „Identyfikacja oraz określenie sposobów eliminacji lub ograniczania istniejących i potencjalnych zagrożeń wewnętrznych i zewnętrznych oraz ich skutków” wskazano zagrożenia „istniejące, wewnętrzne”, ponieważ w trakcie badań terenowych na potrzeby utworzenia planu ochrony dla tego rezerwatu nie zostały zidentyfikowane pozostałe rodzaje zagrożeń. </w:t>
      </w:r>
      <w:r>
        <w:rPr>
          <w:color w:val="000000"/>
          <w:szCs w:val="20"/>
          <w:shd w:val="clear" w:color="auto" w:fill="FFFFFF"/>
          <w:lang w:val="x-none" w:eastAsia="en-US" w:bidi="ar-SA"/>
        </w:rPr>
        <w:t>Ochronę ścisłą zaplanowano</w:t>
      </w:r>
      <w:r>
        <w:rPr>
          <w:color w:val="000000"/>
          <w:szCs w:val="20"/>
          <w:shd w:val="clear" w:color="auto" w:fill="FFFFFF"/>
        </w:rPr>
        <w:t xml:space="preserve"> tam gdzie nie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przewiduje się potrzeby działań ochronnych z zakresu ochrony czynnej i umożliwia się zachodzenie naturalnych procesów w siedliskach</w:t>
      </w:r>
      <w:r>
        <w:rPr>
          <w:color w:val="000000"/>
          <w:szCs w:val="20"/>
          <w:shd w:val="clear" w:color="auto" w:fill="FFFFFF"/>
        </w:rPr>
        <w:t xml:space="preserve"> przyrodniczych </w:t>
      </w:r>
      <w:r>
        <w:rPr>
          <w:color w:val="000000"/>
          <w:szCs w:val="20"/>
          <w:shd w:val="clear" w:color="auto" w:fill="FFFFFF"/>
          <w:lang w:val="x-none" w:eastAsia="en-US" w:bidi="ar-SA"/>
        </w:rPr>
        <w:t>rezerwatu</w:t>
      </w:r>
      <w:r>
        <w:rPr>
          <w:color w:val="000000"/>
          <w:szCs w:val="20"/>
          <w:shd w:val="clear" w:color="auto" w:fill="FFFFFF"/>
        </w:rPr>
        <w:t xml:space="preserve">.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auto"/>
        <w:tabs>
          <w:tab w:val="left" w:pos="0"/>
          <w:tab w:val="clear" w:pos="720"/>
        </w:tabs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color w:val="000000"/>
          <w:szCs w:val="20"/>
          <w:shd w:val="clear" w:color="auto" w:fill="FFFFFF"/>
        </w:rPr>
      </w:pPr>
      <w:r>
        <w:rPr>
          <w:color w:val="000000"/>
          <w:szCs w:val="20"/>
          <w:shd w:val="clear" w:color="auto" w:fill="FFFFFF"/>
        </w:rPr>
        <w:t xml:space="preserve"> </w:t>
        <w:tab/>
        <w:t xml:space="preserve">Ze względu na uwarunkowanie przyrodnicze rezerwatu nie wskazano miejsc, w których może być prowadzona działalność wytwórcza, handlowa i rolnicza, jak również nie wskazano obszarów udostępnianych do celów naukowych, edukacyjnych, rekreacyjnych, sportowych, amatorskiego połowu ryb i rybactwa. Udostępnianie rezerwatu w celu badań naukowych należy rozpatrywać na podstawie art. 15 ust. 1 pkt. 24 ustawy o ochronie przyrody. Uzyskanie indywidualnej zgody na prowadzenie ww. czynności gwarantuje nadzór nad ich rodzajem i metodyką, mając na uwadze dbałość o zachowanie celu ochrony rezerwatu przyrody we właściwym stanie. Udostępnienie rezerwatu przyrody dla </w:t>
      </w:r>
      <w:r>
        <w:rPr>
          <w:color w:val="000000"/>
          <w:szCs w:val="20"/>
          <w:shd w:val="clear" w:color="auto" w:fill="FFFFFF"/>
        </w:rPr>
        <w:t xml:space="preserve">celów edukacyjnych i turystycznych może nastąpić w formie odrębnego zarządzenia na podstawie ar. 15 ust. 1 pkt 15 ustawy z dnia 16 kwietnia 2004 r. o ochronie przyrody, </w:t>
      </w:r>
      <w:r>
        <w:rPr>
          <w:color w:val="000000"/>
          <w:szCs w:val="20"/>
          <w:shd w:val="clear" w:color="auto" w:fill="FFFFFF"/>
        </w:rPr>
        <w:t>a  także na podstawie art. 15 ust. 5 ww. ustawy w  drodze  indywidualnego  zezwolenia  na odstępstwo od zakazów z ust. 1 dla celów związanych wykonywaniem badań naukowych lub celami edukacyjnymi, kulturowymi, turystycznymi, rekreacyjnymi lub sportowymi lub celami kultu religijnego.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auto"/>
        <w:tabs>
          <w:tab w:val="left" w:pos="0"/>
          <w:tab w:val="clear" w:pos="720"/>
        </w:tabs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color w:val="000000"/>
          <w:szCs w:val="20"/>
        </w:rPr>
      </w:pPr>
      <w:r>
        <w:rPr>
          <w:color w:val="000000"/>
          <w:szCs w:val="20"/>
          <w:shd w:val="clear" w:color="auto" w:fill="FFFFFF"/>
        </w:rPr>
        <w:tab/>
        <w:t xml:space="preserve">Nie wskazano wymagań ochrony przyrody koniecznych do uwzględnienia w ustaleniach planu ogólnego gminy </w:t>
      </w:r>
      <w:r>
        <w:rPr>
          <w:color w:val="000000"/>
          <w:szCs w:val="20"/>
          <w:shd w:val="clear" w:color="auto" w:fill="FFFFFF"/>
        </w:rPr>
        <w:t>Włocławek</w:t>
      </w:r>
      <w:r>
        <w:rPr>
          <w:color w:val="000000"/>
          <w:szCs w:val="20"/>
          <w:shd w:val="clear" w:color="auto" w:fill="FFFFFF"/>
        </w:rPr>
        <w:t>, miejscowych planów zagospodarowania przestrzennego, planów zagospodarowania przestrzennego województwa kujawsko-pomorskiego dotyczących eliminacji lub ograniczenia zagrożeń wewnętrznych i zewnętrznych. Brak wskazań wymagań ochrony przyrody wynika z braku zagrożeń, którym można by przeciwdziałać poprzez ww. wskazania.</w:t>
      </w:r>
    </w:p>
    <w:p>
      <w:pPr>
        <w:keepNext w:val="0"/>
        <w:keepLines w:val="0"/>
        <w:widowControl/>
        <w:suppressLineNumbers w:val="0"/>
        <w:shd w:val="clear" w:color="auto" w:fill="auto"/>
        <w:tabs>
          <w:tab w:val="left" w:pos="680"/>
          <w:tab w:val="left" w:pos="709"/>
        </w:tabs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color w:val="000000"/>
          <w:szCs w:val="20"/>
          <w:shd w:val="clear" w:color="auto" w:fill="FFFFFF"/>
        </w:rPr>
      </w:pPr>
      <w:r>
        <w:rPr>
          <w:color w:val="000000"/>
          <w:szCs w:val="20"/>
          <w:shd w:val="clear" w:color="auto" w:fill="FFFFFF"/>
        </w:rPr>
        <w:tab/>
      </w:r>
      <w:r>
        <w:rPr>
          <w:color w:val="000000"/>
          <w:szCs w:val="20"/>
          <w:shd w:val="clear" w:color="auto" w:fill="FFFFFF"/>
          <w:lang w:val="x-none" w:eastAsia="en-US" w:bidi="ar-SA"/>
        </w:rPr>
        <w:t>Projekt zarządzenia w sprawie ustanowienia planu ochrony dla rezerwatu przyrody „</w:t>
      </w:r>
      <w:r>
        <w:rPr>
          <w:color w:val="000000"/>
          <w:szCs w:val="20"/>
          <w:shd w:val="clear" w:color="auto" w:fill="FFFFFF"/>
        </w:rPr>
        <w:t>Kulin</w:t>
      </w:r>
      <w:r>
        <w:rPr>
          <w:color w:val="000000"/>
          <w:szCs w:val="20"/>
          <w:shd w:val="clear" w:color="auto" w:fill="FFFFFF"/>
          <w:lang w:val="x-none" w:eastAsia="en-US" w:bidi="ar-SA"/>
        </w:rPr>
        <w:t>”</w:t>
      </w:r>
      <w:r>
        <w:rPr>
          <w:color w:val="000000"/>
          <w:szCs w:val="20"/>
          <w:shd w:val="clear" w:color="auto" w:fill="FFFFFF"/>
        </w:rPr>
        <w:t xml:space="preserve"> został zaopiniowany pozytywnie przez 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Radę </w:t>
      </w:r>
      <w:r>
        <w:rPr>
          <w:color w:val="000000"/>
          <w:szCs w:val="20"/>
          <w:shd w:val="clear" w:color="auto" w:fill="FFFFFF"/>
        </w:rPr>
        <w:t>Miasta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</w:t>
      </w:r>
      <w:r>
        <w:rPr>
          <w:color w:val="000000"/>
          <w:szCs w:val="20"/>
          <w:shd w:val="clear" w:color="auto" w:fill="FFFFFF"/>
        </w:rPr>
        <w:t>Włocławek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</w:t>
      </w:r>
      <w:r>
        <w:rPr>
          <w:color w:val="000000"/>
          <w:szCs w:val="20"/>
          <w:shd w:val="clear" w:color="auto" w:fill="FFFFFF"/>
        </w:rPr>
        <w:t>uchwałą nr LXXIV/50/2024, z dnia 23 kwietnia 2024 r.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i </w:t>
      </w:r>
      <w:r>
        <w:rPr>
          <w:color w:val="000000"/>
          <w:szCs w:val="20"/>
          <w:shd w:val="clear" w:color="auto" w:fill="FFFFFF"/>
        </w:rPr>
        <w:t xml:space="preserve">pozytywnie przez 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Regionalną Radę Ochrony Przyrody w Bydgoszczy uchwałą </w:t>
      </w:r>
      <w:r>
        <w:rPr>
          <w:color w:val="000000"/>
          <w:szCs w:val="20"/>
          <w:shd w:val="clear" w:color="auto" w:fill="FFFFFF"/>
        </w:rPr>
        <w:t>n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r </w:t>
      </w:r>
      <w:r>
        <w:rPr>
          <w:color w:val="000000"/>
          <w:szCs w:val="20"/>
          <w:shd w:val="clear" w:color="auto" w:fill="FFFFFF"/>
        </w:rPr>
        <w:t>17/2024</w:t>
      </w:r>
      <w:r>
        <w:rPr>
          <w:color w:val="000000"/>
          <w:szCs w:val="20"/>
          <w:shd w:val="clear" w:color="auto" w:fill="FFFFFF"/>
          <w:lang w:val="x-none" w:eastAsia="en-US" w:bidi="ar-SA"/>
        </w:rPr>
        <w:t>, z dnia</w:t>
      </w:r>
      <w:r>
        <w:rPr>
          <w:color w:val="000000"/>
          <w:szCs w:val="20"/>
          <w:shd w:val="clear" w:color="auto" w:fill="FFFFFF"/>
        </w:rPr>
        <w:t xml:space="preserve"> 26 lipca 2024 r.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Na podstawie art. 59 ust. 2 ustawy z dnia 23 stycznia 2009 r. o wojewodzie i administracji rządowej w województwie (Dz. U. z 2023 r., poz. 190) projekt zarządzenia został </w:t>
      </w:r>
      <w:r>
        <w:rPr>
          <w:color w:val="000000"/>
          <w:szCs w:val="20"/>
          <w:shd w:val="clear" w:color="auto" w:fill="FFFFFF"/>
        </w:rPr>
        <w:t xml:space="preserve">pozytywnie 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uzgodniony przez Wojewodę Kujawsko-Pomorskiego pismem znak: </w:t>
      </w:r>
      <w:r>
        <w:rPr>
          <w:color w:val="000000"/>
          <w:szCs w:val="20"/>
          <w:shd w:val="clear" w:color="auto" w:fill="FFFFFF"/>
          <w:lang w:val="x-none" w:eastAsia="en-US" w:bidi="ar-SA"/>
        </w:rPr>
        <w:t>WRS.II.710.15.2024, z dnia 1 sierpnia 2024 r.</w:t>
      </w:r>
    </w:p>
    <w:p>
      <w:pPr>
        <w:keepNext w:val="0"/>
        <w:keepLines w:val="0"/>
        <w:widowControl/>
        <w:suppressLineNumbers w:val="0"/>
        <w:shd w:val="clear" w:color="auto" w:fill="auto"/>
        <w:tabs>
          <w:tab w:val="left" w:pos="680"/>
          <w:tab w:val="left" w:pos="709"/>
        </w:tabs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  <w:lang w:val="x-none" w:eastAsia="en-US" w:bidi="ar-SA"/>
        </w:rPr>
        <w:tab/>
        <w:t xml:space="preserve">Zgodnie z art. 20 ust. 6 ustawy o ochronie przyrody niniejszy plan ochrony dla rezerwatu </w:t>
      </w:r>
      <w:r>
        <w:rPr>
          <w:color w:val="000000"/>
          <w:szCs w:val="20"/>
          <w:shd w:val="clear" w:color="auto" w:fill="FFFFFF"/>
        </w:rPr>
        <w:t xml:space="preserve">nie </w:t>
      </w:r>
      <w:r>
        <w:rPr>
          <w:color w:val="000000"/>
          <w:szCs w:val="20"/>
          <w:shd w:val="clear" w:color="auto" w:fill="FFFFFF"/>
          <w:lang w:val="x-none" w:eastAsia="en-US" w:bidi="ar-SA"/>
        </w:rPr>
        <w:t>zawiera zakres</w:t>
      </w:r>
      <w:r>
        <w:rPr>
          <w:color w:val="000000"/>
          <w:szCs w:val="20"/>
          <w:shd w:val="clear" w:color="auto" w:fill="FFFFFF"/>
        </w:rPr>
        <w:t>u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 planu zadań ochronnych obszaru Natura 2000 </w:t>
      </w:r>
      <w:r>
        <w:rPr>
          <w:color w:val="000000"/>
          <w:szCs w:val="20"/>
          <w:shd w:val="clear" w:color="auto" w:fill="FFFFFF"/>
        </w:rPr>
        <w:t>Włocławska Dolina Wisły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PLH0400</w:t>
      </w:r>
      <w:r>
        <w:rPr>
          <w:color w:val="000000"/>
          <w:szCs w:val="20"/>
          <w:shd w:val="clear" w:color="auto" w:fill="FFFFFF"/>
        </w:rPr>
        <w:t>39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, ponieważ dla tego obszaru Natura 2000 ustanowiono plan zadań ochronnych </w:t>
      </w:r>
      <w:r>
        <w:rPr>
          <w:color w:val="000000"/>
          <w:szCs w:val="20"/>
          <w:shd w:val="clear" w:color="auto" w:fill="FFFFFF"/>
        </w:rPr>
        <w:t>z</w:t>
      </w:r>
      <w:r>
        <w:rPr>
          <w:color w:val="000000"/>
          <w:szCs w:val="20"/>
          <w:shd w:val="clear" w:color="auto" w:fill="F9FBF9"/>
          <w:lang w:val="x-none" w:eastAsia="en-US" w:bidi="ar-SA"/>
        </w:rPr>
        <w:t>arządzenie</w:t>
      </w:r>
      <w:r>
        <w:rPr>
          <w:color w:val="000000"/>
          <w:szCs w:val="20"/>
          <w:shd w:val="clear" w:color="auto" w:fill="F9FBF9"/>
        </w:rPr>
        <w:t>m</w:t>
      </w:r>
      <w:r>
        <w:rPr>
          <w:color w:val="000000"/>
          <w:szCs w:val="20"/>
          <w:shd w:val="clear" w:color="auto" w:fill="F9FBF9"/>
          <w:lang w:val="x-none" w:eastAsia="en-US" w:bidi="ar-SA"/>
        </w:rPr>
        <w:t xml:space="preserve"> Regionalnego Dyrektora Ochrony Środowiska w Bydgoszczy </w:t>
      </w:r>
      <w:r>
        <w:rPr>
          <w:color w:val="000000"/>
          <w:szCs w:val="20"/>
          <w:shd w:val="clear" w:color="auto" w:fill="FFFFFF"/>
          <w:lang w:val="x-none" w:eastAsia="en-US" w:bidi="ar-SA"/>
        </w:rPr>
        <w:t>z dnia 20 maja 2020 r. w sprawie ustanowienia planu zadań ochronnych dla obszaru Natura 2000 Włocławska Dolina Wisły PLH040039 (Dz. Urz. Woj. Kuj-Pom. poz. 2698)</w:t>
      </w:r>
      <w:r>
        <w:rPr>
          <w:color w:val="000000"/>
          <w:szCs w:val="20"/>
          <w:shd w:val="clear" w:color="auto" w:fill="F9FBF9"/>
        </w:rPr>
        <w:t xml:space="preserve">, którego zakres obejmuje obszar rezerwatu przyrody </w:t>
      </w:r>
      <w:r>
        <w:rPr>
          <w:color w:val="000000"/>
          <w:szCs w:val="20"/>
          <w:shd w:val="clear" w:color="auto" w:fill="FFFFFF"/>
        </w:rPr>
        <w:t>„Kulin”.</w:t>
      </w:r>
    </w:p>
    <w:p>
      <w:pPr>
        <w:keepNext w:val="0"/>
        <w:keepLines w:val="0"/>
        <w:widowControl/>
        <w:suppressLineNumbers w:val="0"/>
        <w:shd w:val="clear" w:color="auto" w:fill="auto"/>
        <w:tabs>
          <w:tab w:val="left" w:pos="680"/>
          <w:tab w:val="left" w:pos="709"/>
        </w:tabs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color w:val="000000"/>
          <w:szCs w:val="20"/>
          <w:shd w:val="clear" w:color="auto" w:fill="FFFFFF"/>
        </w:rPr>
      </w:pP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jc w:val="right"/>
        <w:rPr>
          <w:color w:val="000000"/>
          <w:szCs w:val="20"/>
          <w:shd w:val="clear" w:color="auto" w:fill="FFFFFF"/>
          <w:lang w:val="x-none" w:eastAsia="en-US" w:bidi="ar-SA"/>
        </w:rPr>
      </w:pPr>
      <w:r>
        <w:drawing>
          <wp:inline>
            <wp:extent cx="2383155" cy="150558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83155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>
      <w:footerReference w:type="default" r:id="rId13"/>
      <w:type w:val="nextPage"/>
      <w:pgSz w:w="11907" w:h="16839" w:code="9"/>
      <w:pgMar w:top="1440" w:right="862" w:bottom="1440" w:left="144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577"/>
      <w:gridCol w:w="3289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6577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</w:tcMar>
          <w:textDirection w:val="lrTb"/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BFD1AA39-0C35-43EC-B62A-DFF516E7CF31. Uchwalony</w:t>
          </w:r>
        </w:p>
      </w:tc>
      <w:tc>
        <w:tcPr>
          <w:tcW w:w="3289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</w:tcMar>
          <w:textDirection w:val="lrTb"/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577"/>
      <w:gridCol w:w="3289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6577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</w:tcMar>
          <w:textDirection w:val="lrTb"/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BFD1AA39-0C35-43EC-B62A-DFF516E7CF31. Uchwalony</w:t>
          </w:r>
        </w:p>
      </w:tc>
      <w:tc>
        <w:tcPr>
          <w:tcW w:w="3289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</w:tcMar>
          <w:textDirection w:val="lrTb"/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577"/>
      <w:gridCol w:w="3289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6577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</w:tcMar>
          <w:textDirection w:val="lrTb"/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BFD1AA39-0C35-43EC-B62A-DFF516E7CF31. Uchwalony</w:t>
          </w:r>
        </w:p>
      </w:tc>
      <w:tc>
        <w:tcPr>
          <w:tcW w:w="3289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</w:tcMar>
          <w:textDirection w:val="lrTb"/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403"/>
      <w:gridCol w:w="3202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6403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</w:tcMar>
          <w:textDirection w:val="lrTb"/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BFD1AA39-0C35-43EC-B62A-DFF516E7CF31. Uchwalony</w:t>
          </w:r>
        </w:p>
      </w:tc>
      <w:tc>
        <w:tcPr>
          <w:tcW w:w="3202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</w:tcMar>
          <w:textDirection w:val="lrTb"/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pPr>
        <w:spacing w:after="0" w:line="240" w:lineRule="auto"/>
      </w:pPr>
      <w:r>
        <w:separator/>
      </w:r>
    </w:p>
  </w:footnote>
  <w:footnote w:type="continuationSeparator" w:id="1">
    <w:p>
      <w:pPr>
        <w:spacing w:after="0" w:line="240" w:lineRule="auto"/>
      </w:pPr>
      <w:r>
        <w:continuationSeparator/>
      </w:r>
    </w:p>
  </w:footnote>
  <w:footnote w:id="2">
    <w:p>
      <w:pPr>
        <w:pStyle w:val="FootnoteText"/>
        <w:keepNext w:val="0"/>
        <w:keepLines/>
        <w:spacing w:before="0" w:after="0" w:line="240" w:lineRule="auto"/>
        <w:ind w:left="170" w:right="0" w:hanging="170"/>
        <w:jc w:val="both"/>
        <w:rPr>
          <w:rFonts w:ascii="Times New Roman" w:eastAsia="Times New Roman" w:hAnsi="Times New Roman" w:cs="Times New Roman"/>
          <w:sz w:val="20"/>
        </w:rPr>
      </w:pPr>
      <w:r>
        <w:rPr>
          <w:rStyle w:val="FootnoteReference"/>
          <w:b w:val="0"/>
          <w:caps w:val="0"/>
        </w:rPr>
        <w:t>1) </w:t>
      </w:r>
      <w:r>
        <w:rPr>
          <w:rFonts w:ascii="Times New Roman" w:eastAsia="Times New Roman" w:hAnsi="Times New Roman" w:cs="Times New Roman"/>
          <w:b w:val="0"/>
          <w:caps w:val="0"/>
          <w:sz w:val="20"/>
        </w:rPr>
        <w:t>Plan Urządzenia Lasu Nadleśnictwa Włocławek na okres od 1 stycznia 2016 r. do 31 grudnia 2025 r.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5015"/>
    <w:multiLevelType w:val="hybridMultilevel"/>
    <w:tmpl w:val="00000000"/>
    <w:lvl w:ilvl="0">
      <w:start w:val="1"/>
      <w:numFmt w:val="decimal"/>
      <w:pStyle w:val="LPNumerowanie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  <w:rPr>
        <w:color w:val="00000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color w:val="00000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color w:val="000000"/>
      </w:rPr>
    </w:lvl>
    <w:lvl w:ilvl="6">
      <w:start w:val="1"/>
      <w:numFmt w:val="decimal"/>
      <w:lvlText w:val="%7."/>
      <w:lvlJc w:val="left"/>
      <w:pPr>
        <w:ind w:left="504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color w:val="00000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footnotePr>
    <w:footnote w:id="0"/>
    <w:footnote w:id="1"/>
  </w:footnotePr>
  <w:endnotePr>
    <w:numFmt w:val="decimal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both"/>
    </w:pPr>
    <w:rPr>
      <w:rFonts w:ascii="Times New Roman" w:eastAsia="Times New Roman" w:hAnsi="Times New Roman" w:cs="Times New Roman"/>
      <w:sz w:val="24"/>
      <w:szCs w:val="24"/>
      <w:lang w:val="pl-PL" w:eastAsia="pl-PL" w:bidi="pl-PL"/>
    </w:rPr>
  </w:style>
  <w:style w:type="character" w:default="1" w:styleId="DefaultParagraphFont">
    <w:name w:val="Default Paragraph Font"/>
    <w:semiHidden/>
    <w:rPr>
      <w:lang w:val="pl-PL" w:eastAsia="pl-PL" w:bidi="pl-PL"/>
    </w:rPr>
  </w:style>
  <w:style w:type="table" w:default="1" w:styleId="TableNormal">
    <w:name w:val="Normal Table"/>
    <w:semiHidden/>
    <w:rPr>
      <w:lang w:val="pl-PL" w:eastAsia="pl-PL" w:bidi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FootnoteReference">
    <w:name w:val="footnote reference"/>
    <w:basedOn w:val="DefaultParagraphFont"/>
    <w:rsid w:val="00805BCE"/>
    <w:rPr>
      <w:vertAlign w:val="superscript"/>
    </w:rPr>
  </w:style>
  <w:style w:type="paragraph" w:styleId="FootnoteText">
    <w:name w:val="footnote text"/>
    <w:basedOn w:val="Normal"/>
    <w:rsid w:val="00805BCE"/>
    <w:rPr>
      <w:sz w:val="20"/>
      <w:szCs w:val="20"/>
    </w:rPr>
  </w:style>
  <w:style w:type="paragraph" w:customStyle="1" w:styleId="LPNumerowanie">
    <w:name w:val="LP_Numerowanie"/>
    <w:basedOn w:val="Normal"/>
    <w:pPr>
      <w:numPr>
        <w:numId w:val="1"/>
      </w:numPr>
      <w:tabs>
        <w:tab w:val="left" w:pos="0"/>
        <w:tab w:val="left" w:pos="720"/>
      </w:tabs>
      <w:spacing w:line="360" w:lineRule="auto"/>
    </w:pPr>
    <w:rPr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image" Target="ZalacznikD089560C-7AE3-4583-94BB-6034CDEAF831.jpg" TargetMode="External" /><Relationship Id="rId11" Type="http://schemas.openxmlformats.org/officeDocument/2006/relationships/footer" Target="footer3.xml" /><Relationship Id="rId12" Type="http://schemas.openxmlformats.org/officeDocument/2006/relationships/image" Target="media/image2.jpeg" /><Relationship Id="rId13" Type="http://schemas.openxmlformats.org/officeDocument/2006/relationships/footer" Target="footer4.xml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image" Target="media/image1.jpeg" /><Relationship Id="rId6" Type="http://schemas.openxmlformats.org/officeDocument/2006/relationships/image" Target="Zalacznik686FEF05-C1A6-41C5-B88E-4A7A1DBDAEA3.jpg" TargetMode="External" /><Relationship Id="rId7" Type="http://schemas.openxmlformats.org/officeDocument/2006/relationships/footer" Target="footer1.xml" /><Relationship Id="rId8" Type="http://schemas.openxmlformats.org/officeDocument/2006/relationships/image" Target="ZalacznikA4FECBFD-1169-4878-A2B9-E57ED4C4973A.jpg" TargetMode="Externa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Regionalny Dyrektor Ochrony Środowiska w Bydgoszczy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27 sierpnia 2024 r.</dc:title>
  <dc:subject>w^sprawie ustanowienia planu ochrony dla rezerwatu przyrody „Kulin”</dc:subject>
  <dc:creator>kleszczynska</dc:creator>
  <cp:lastModifiedBy>kleszczynska</cp:lastModifiedBy>
  <cp:revision>1</cp:revision>
  <dcterms:created xsi:type="dcterms:W3CDTF">2024-08-29T12:11:49Z</dcterms:created>
  <dcterms:modified xsi:type="dcterms:W3CDTF">2024-08-29T12:11:49Z</dcterms:modified>
  <cp:category>Akt prawny</cp:category>
</cp:coreProperties>
</file>